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C51B50">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75A35F93" w:rsidR="00202E2D" w:rsidRPr="009F1AF9" w:rsidRDefault="00F27B75" w:rsidP="009F1AF9">
      <w:pPr>
        <w:rPr>
          <w:rFonts w:ascii="Arial" w:hAnsi="Arial" w:cs="Arial"/>
        </w:rPr>
      </w:pPr>
      <w:r>
        <w:rPr>
          <w:rFonts w:ascii="Arial" w:hAnsi="Arial" w:cs="Arial"/>
        </w:rPr>
        <w:t>MEARS ASHBY</w:t>
      </w:r>
      <w:r w:rsidR="000966DF">
        <w:rPr>
          <w:rFonts w:ascii="Arial" w:hAnsi="Arial" w:cs="Arial"/>
        </w:rPr>
        <w:t xml:space="preserv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4472764"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A0870">
              <w:rPr>
                <w:noProof/>
                <w:webHidden/>
              </w:rPr>
              <w:t>2</w:t>
            </w:r>
            <w:r w:rsidR="002B40EB">
              <w:rPr>
                <w:noProof/>
                <w:webHidden/>
              </w:rPr>
              <w:fldChar w:fldCharType="end"/>
            </w:r>
          </w:hyperlink>
        </w:p>
        <w:p w14:paraId="7D7419AD" w14:textId="3FE8F68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A0870">
              <w:rPr>
                <w:noProof/>
                <w:webHidden/>
              </w:rPr>
              <w:t>3</w:t>
            </w:r>
            <w:r>
              <w:rPr>
                <w:noProof/>
                <w:webHidden/>
              </w:rPr>
              <w:fldChar w:fldCharType="end"/>
            </w:r>
          </w:hyperlink>
        </w:p>
        <w:p w14:paraId="6A0A0C8A" w14:textId="1C4C223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A0870">
              <w:rPr>
                <w:noProof/>
                <w:webHidden/>
              </w:rPr>
              <w:t>4</w:t>
            </w:r>
            <w:r>
              <w:rPr>
                <w:noProof/>
                <w:webHidden/>
              </w:rPr>
              <w:fldChar w:fldCharType="end"/>
            </w:r>
          </w:hyperlink>
        </w:p>
        <w:p w14:paraId="1E8FEC5E" w14:textId="6564234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A0870">
              <w:rPr>
                <w:noProof/>
                <w:webHidden/>
              </w:rPr>
              <w:t>5</w:t>
            </w:r>
            <w:r>
              <w:rPr>
                <w:noProof/>
                <w:webHidden/>
              </w:rPr>
              <w:fldChar w:fldCharType="end"/>
            </w:r>
          </w:hyperlink>
        </w:p>
        <w:p w14:paraId="126B8AA6" w14:textId="23FD37E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A0870">
              <w:rPr>
                <w:noProof/>
                <w:webHidden/>
              </w:rPr>
              <w:t>6</w:t>
            </w:r>
            <w:r>
              <w:rPr>
                <w:noProof/>
                <w:webHidden/>
              </w:rPr>
              <w:fldChar w:fldCharType="end"/>
            </w:r>
          </w:hyperlink>
        </w:p>
        <w:p w14:paraId="42B2B422" w14:textId="339FA4E3"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A0870">
              <w:rPr>
                <w:noProof/>
                <w:webHidden/>
              </w:rPr>
              <w:t>8</w:t>
            </w:r>
            <w:r>
              <w:rPr>
                <w:noProof/>
                <w:webHidden/>
              </w:rPr>
              <w:fldChar w:fldCharType="end"/>
            </w:r>
          </w:hyperlink>
        </w:p>
        <w:p w14:paraId="5CB54E2C" w14:textId="2F345AE2"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A0870">
              <w:rPr>
                <w:noProof/>
                <w:webHidden/>
              </w:rPr>
              <w:t>9</w:t>
            </w:r>
            <w:r>
              <w:rPr>
                <w:noProof/>
                <w:webHidden/>
              </w:rPr>
              <w:fldChar w:fldCharType="end"/>
            </w:r>
          </w:hyperlink>
        </w:p>
        <w:p w14:paraId="3284D550" w14:textId="43175FCE"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A0870">
              <w:rPr>
                <w:noProof/>
                <w:webHidden/>
              </w:rPr>
              <w:t>10</w:t>
            </w:r>
            <w:r>
              <w:rPr>
                <w:noProof/>
                <w:webHidden/>
              </w:rPr>
              <w:fldChar w:fldCharType="end"/>
            </w:r>
          </w:hyperlink>
        </w:p>
        <w:p w14:paraId="2CF8240C" w14:textId="47EC00F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A0870">
              <w:rPr>
                <w:noProof/>
                <w:webHidden/>
              </w:rPr>
              <w:t>10</w:t>
            </w:r>
            <w:r>
              <w:rPr>
                <w:noProof/>
                <w:webHidden/>
              </w:rPr>
              <w:fldChar w:fldCharType="end"/>
            </w:r>
          </w:hyperlink>
        </w:p>
        <w:p w14:paraId="468BACDC" w14:textId="2620D18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A0870">
              <w:rPr>
                <w:noProof/>
                <w:webHidden/>
              </w:rPr>
              <w:t>10</w:t>
            </w:r>
            <w:r>
              <w:rPr>
                <w:noProof/>
                <w:webHidden/>
              </w:rPr>
              <w:fldChar w:fldCharType="end"/>
            </w:r>
          </w:hyperlink>
        </w:p>
        <w:p w14:paraId="77735F37" w14:textId="6A8EEA4A"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A0870">
              <w:rPr>
                <w:noProof/>
                <w:webHidden/>
              </w:rPr>
              <w:t>10</w:t>
            </w:r>
            <w:r>
              <w:rPr>
                <w:noProof/>
                <w:webHidden/>
              </w:rPr>
              <w:fldChar w:fldCharType="end"/>
            </w:r>
          </w:hyperlink>
        </w:p>
        <w:p w14:paraId="2018C562" w14:textId="48353E0B"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A0870">
              <w:rPr>
                <w:noProof/>
                <w:webHidden/>
              </w:rPr>
              <w:t>11</w:t>
            </w:r>
            <w:r>
              <w:rPr>
                <w:noProof/>
                <w:webHidden/>
              </w:rPr>
              <w:fldChar w:fldCharType="end"/>
            </w:r>
          </w:hyperlink>
        </w:p>
        <w:p w14:paraId="7158F293" w14:textId="5B68572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A0870">
              <w:rPr>
                <w:noProof/>
                <w:webHidden/>
              </w:rPr>
              <w:t>11</w:t>
            </w:r>
            <w:r>
              <w:rPr>
                <w:noProof/>
                <w:webHidden/>
              </w:rPr>
              <w:fldChar w:fldCharType="end"/>
            </w:r>
          </w:hyperlink>
        </w:p>
        <w:p w14:paraId="7C5EF785" w14:textId="1F7F569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A0870">
              <w:rPr>
                <w:noProof/>
                <w:webHidden/>
              </w:rPr>
              <w:t>12</w:t>
            </w:r>
            <w:r>
              <w:rPr>
                <w:noProof/>
                <w:webHidden/>
              </w:rPr>
              <w:fldChar w:fldCharType="end"/>
            </w:r>
          </w:hyperlink>
        </w:p>
        <w:p w14:paraId="66251BC0" w14:textId="38F794F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F52D4C">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A0870">
              <w:rPr>
                <w:noProof/>
                <w:webHidden/>
              </w:rPr>
              <w:t>12</w:t>
            </w:r>
            <w:r>
              <w:rPr>
                <w:noProof/>
                <w:webHidden/>
              </w:rPr>
              <w:fldChar w:fldCharType="end"/>
            </w:r>
          </w:hyperlink>
        </w:p>
        <w:p w14:paraId="38A67F4C" w14:textId="64365A94"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F52D4C">
              <w:rPr>
                <w:rStyle w:val="Hyperlink"/>
                <w:rFonts w:ascii="Arial" w:hAnsi="Arial" w:cs="Arial"/>
                <w:noProof/>
              </w:rPr>
              <w:t>6</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A0870">
              <w:rPr>
                <w:noProof/>
                <w:webHidden/>
              </w:rPr>
              <w:t>13</w:t>
            </w:r>
            <w:r>
              <w:rPr>
                <w:noProof/>
                <w:webHidden/>
              </w:rPr>
              <w:fldChar w:fldCharType="end"/>
            </w:r>
          </w:hyperlink>
        </w:p>
        <w:p w14:paraId="35261A0D" w14:textId="2486C19D"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F52D4C">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A0870">
              <w:rPr>
                <w:noProof/>
                <w:webHidden/>
              </w:rPr>
              <w:t>13</w:t>
            </w:r>
            <w:r>
              <w:rPr>
                <w:noProof/>
                <w:webHidden/>
              </w:rPr>
              <w:fldChar w:fldCharType="end"/>
            </w:r>
          </w:hyperlink>
        </w:p>
        <w:p w14:paraId="11C239C5" w14:textId="033576F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A0870">
              <w:rPr>
                <w:noProof/>
                <w:webHidden/>
              </w:rPr>
              <w:t>14</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A31246F"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A2984">
        <w:rPr>
          <w:rFonts w:ascii="Arial" w:hAnsi="Arial" w:cs="Arial"/>
        </w:rPr>
        <w:t>Monday 1</w:t>
      </w:r>
      <w:r w:rsidR="002A0870">
        <w:rPr>
          <w:rFonts w:ascii="Arial" w:hAnsi="Arial" w:cs="Arial"/>
        </w:rPr>
        <w:t>0</w:t>
      </w:r>
      <w:r w:rsidR="002A2984">
        <w:rPr>
          <w:rFonts w:ascii="Arial" w:hAnsi="Arial" w:cs="Arial"/>
        </w:rPr>
        <w:t xml:space="preserve"> </w:t>
      </w:r>
      <w:r w:rsidR="002A0870">
        <w:rPr>
          <w:rFonts w:ascii="Arial" w:hAnsi="Arial" w:cs="Arial"/>
        </w:rPr>
        <w:t>June</w:t>
      </w:r>
      <w:r w:rsidR="000966DF">
        <w:rPr>
          <w:rFonts w:ascii="Arial" w:hAnsi="Arial" w:cs="Arial"/>
        </w:rPr>
        <w:t xml:space="preserve"> 2024</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93D383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0966DF">
        <w:rPr>
          <w:rFonts w:ascii="Arial" w:hAnsi="Arial" w:cs="Arial"/>
        </w:rPr>
        <w:t>:</w:t>
      </w:r>
    </w:p>
    <w:p w14:paraId="48FDFB80" w14:textId="260BB88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r w:rsidR="000966DF">
        <w:rPr>
          <w:rFonts w:ascii="Arial" w:hAnsi="Arial" w:cs="Arial"/>
        </w:rPr>
        <w:t>.</w:t>
      </w:r>
    </w:p>
    <w:p w14:paraId="52A626DB" w14:textId="1FA32821"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r w:rsidR="000966DF">
        <w:rPr>
          <w:rFonts w:ascii="Arial" w:hAnsi="Arial" w:cs="Arial"/>
        </w:rPr>
        <w:t>.</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379BA6D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r w:rsidR="000966DF">
        <w:rPr>
          <w:rFonts w:ascii="Arial" w:hAnsi="Arial" w:cs="Arial"/>
        </w:rPr>
        <w:t>.</w:t>
      </w:r>
    </w:p>
    <w:p w14:paraId="29C85BB1" w14:textId="43A14058"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r w:rsidR="000966DF">
        <w:rPr>
          <w:rFonts w:ascii="Arial" w:hAnsi="Arial" w:cs="Arial"/>
        </w:rPr>
        <w:t>.</w:t>
      </w:r>
    </w:p>
    <w:p w14:paraId="0672688D" w14:textId="6A492CFB"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r w:rsidR="000966DF" w:rsidRPr="009F1AF9">
        <w:rPr>
          <w:rFonts w:ascii="Arial" w:hAnsi="Arial" w:cs="Arial"/>
        </w:rPr>
        <w:t>efficiency,</w:t>
      </w:r>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991A11B" w14:textId="77777777" w:rsidR="000966DF" w:rsidRPr="009F1AF9" w:rsidRDefault="000966DF" w:rsidP="000966DF">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6FA56A56"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w:t>
      </w:r>
      <w:r w:rsidR="000966DF">
        <w:rPr>
          <w:rFonts w:ascii="Arial" w:hAnsi="Arial" w:cs="Arial"/>
          <w:b/>
          <w:bCs/>
        </w:rPr>
        <w:t>.</w:t>
      </w:r>
    </w:p>
    <w:p w14:paraId="556DFF8F" w14:textId="2A03309B"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r w:rsidR="000966DF">
        <w:rPr>
          <w:rFonts w:ascii="Arial" w:hAnsi="Arial" w:cs="Arial"/>
          <w:b/>
          <w:bCs/>
        </w:rPr>
        <w:t>.</w:t>
      </w:r>
    </w:p>
    <w:p w14:paraId="05E862A9" w14:textId="576C84AC"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r w:rsidR="000966DF">
        <w:rPr>
          <w:rFonts w:ascii="Arial" w:hAnsi="Arial" w:cs="Arial"/>
          <w:b/>
          <w:bCs/>
        </w:rPr>
        <w:t>.</w:t>
      </w:r>
    </w:p>
    <w:p w14:paraId="3F1D9269" w14:textId="71DF41F1"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r w:rsidR="000966DF">
        <w:rPr>
          <w:rFonts w:ascii="Arial" w:hAnsi="Arial" w:cs="Arial"/>
          <w:b/>
          <w:bCs/>
        </w:rPr>
        <w:t>.</w:t>
      </w:r>
    </w:p>
    <w:p w14:paraId="6C8695A4" w14:textId="1C607B15" w:rsidR="007C1480" w:rsidRPr="009F1AF9" w:rsidRDefault="000966DF"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w:t>
      </w:r>
      <w:r w:rsidR="007C1480" w:rsidRPr="009F1AF9">
        <w:rPr>
          <w:rFonts w:ascii="Arial" w:hAnsi="Arial" w:cs="Arial"/>
          <w:b/>
          <w:bCs/>
        </w:rPr>
        <w:t>orrowing</w:t>
      </w:r>
      <w:r>
        <w:rPr>
          <w:rFonts w:ascii="Arial" w:hAnsi="Arial" w:cs="Arial"/>
          <w:b/>
          <w:bCs/>
        </w:rPr>
        <w:t>.</w:t>
      </w:r>
    </w:p>
    <w:p w14:paraId="46B420D2" w14:textId="11BAC3EF"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w:t>
      </w:r>
      <w:r w:rsidR="000966DF">
        <w:rPr>
          <w:rFonts w:ascii="Arial" w:hAnsi="Arial" w:cs="Arial"/>
          <w:b/>
          <w:bCs/>
        </w:rPr>
        <w:t>,</w:t>
      </w:r>
      <w:r w:rsidRPr="009F1AF9">
        <w:rPr>
          <w:rFonts w:ascii="Arial" w:hAnsi="Arial" w:cs="Arial"/>
          <w:b/>
          <w:bCs/>
        </w:rPr>
        <w:t xml:space="preserv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82FBE8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r w:rsidR="000966DF">
        <w:rPr>
          <w:rFonts w:ascii="Arial" w:hAnsi="Arial" w:cs="Arial"/>
        </w:rPr>
        <w:t>.</w:t>
      </w:r>
    </w:p>
    <w:p w14:paraId="7A22CF0C" w14:textId="6EF8ECF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5EA7249B"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r w:rsidR="000966DF">
        <w:rPr>
          <w:rFonts w:ascii="Arial" w:hAnsi="Arial" w:cs="Arial"/>
        </w:rPr>
        <w:t>.</w:t>
      </w:r>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F054F8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966DF">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5FCE3E5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0966DF">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2678536B"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966DF">
        <w:rPr>
          <w:rFonts w:ascii="Arial" w:hAnsi="Arial" w:cs="Arial"/>
          <w:b/>
          <w:bCs/>
        </w:rPr>
        <w:t>.</w:t>
      </w:r>
    </w:p>
    <w:p w14:paraId="5ED13F71" w14:textId="32F2B3CF"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r w:rsidR="000966DF">
        <w:rPr>
          <w:rFonts w:ascii="Arial" w:hAnsi="Arial" w:cs="Arial"/>
          <w:b/>
          <w:bCs/>
        </w:rPr>
        <w:t>.</w:t>
      </w:r>
    </w:p>
    <w:p w14:paraId="77ED55FD" w14:textId="5035A7DF"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48611526"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r w:rsidR="000966DF">
        <w:rPr>
          <w:rFonts w:ascii="Arial" w:hAnsi="Arial" w:cs="Arial"/>
          <w:b/>
          <w:bCs/>
        </w:rPr>
        <w:t>.</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F33CA79"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6CDF764B"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r w:rsidR="00283AC8">
        <w:rPr>
          <w:rFonts w:ascii="Arial" w:hAnsi="Arial" w:cs="Arial"/>
          <w:b/>
          <w:bCs/>
        </w:rPr>
        <w:t>.</w:t>
      </w:r>
    </w:p>
    <w:p w14:paraId="63BE23E5" w14:textId="0880DF80"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283AC8">
        <w:rPr>
          <w:rFonts w:ascii="Arial" w:hAnsi="Arial" w:cs="Arial"/>
          <w:b/>
          <w:bCs/>
        </w:rPr>
        <w:t>.</w:t>
      </w:r>
    </w:p>
    <w:p w14:paraId="107406E6" w14:textId="6491B5E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288FED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6E4DCA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019D8EFF"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r w:rsidR="00283AC8">
        <w:rPr>
          <w:rFonts w:ascii="Arial" w:hAnsi="Arial" w:cs="Arial"/>
        </w:rPr>
        <w:t>.</w:t>
      </w:r>
    </w:p>
    <w:p w14:paraId="1798F4E1" w14:textId="14837D58"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136C4EFF"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283AC8">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46E08CF"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r w:rsidR="00283AC8">
        <w:rPr>
          <w:rFonts w:ascii="Arial" w:hAnsi="Arial" w:cs="Arial"/>
        </w:rPr>
        <w:t>.</w:t>
      </w:r>
    </w:p>
    <w:p w14:paraId="0E8A3187" w14:textId="2160B760"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r w:rsidR="00283AC8">
        <w:rPr>
          <w:rFonts w:ascii="Arial" w:hAnsi="Arial" w:cs="Arial"/>
        </w:rPr>
        <w:t>.</w:t>
      </w:r>
    </w:p>
    <w:p w14:paraId="19DCA4BB" w14:textId="2275EADF"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w:t>
      </w:r>
      <w:r w:rsidR="00283AC8">
        <w:rPr>
          <w:rFonts w:ascii="Arial" w:hAnsi="Arial" w:cs="Arial"/>
        </w:rPr>
        <w:t>,</w:t>
      </w:r>
      <w:r w:rsidRPr="009F1AF9">
        <w:rPr>
          <w:rFonts w:ascii="Arial" w:hAnsi="Arial" w:cs="Arial"/>
        </w:rPr>
        <w:t xml:space="preserve">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AFB2DC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283AC8">
        <w:rPr>
          <w:rFonts w:ascii="Arial" w:eastAsia="Calibri" w:hAnsi="Arial" w:cs="Arial"/>
        </w:rPr>
        <w:t xml:space="preserve">December </w:t>
      </w:r>
      <w:r w:rsidR="00955295" w:rsidRPr="009F1AF9">
        <w:rPr>
          <w:rFonts w:ascii="Arial" w:eastAsia="Calibri" w:hAnsi="Arial" w:cs="Arial"/>
        </w:rPr>
        <w:t xml:space="preserve">for the following financial year and the final version shall be evidenced by a hard copy schedule signed by the Clerk and the </w:t>
      </w:r>
      <w:r w:rsidR="00283AC8">
        <w:rPr>
          <w:rFonts w:ascii="Arial" w:eastAsia="Calibri" w:hAnsi="Arial" w:cs="Arial"/>
        </w:rPr>
        <w:t>Chair</w:t>
      </w:r>
      <w:r w:rsidR="00955295" w:rsidRPr="009F1AF9">
        <w:rPr>
          <w:rFonts w:ascii="Arial" w:eastAsia="Calibri" w:hAnsi="Arial" w:cs="Arial"/>
        </w:rPr>
        <w:t xml:space="preserve">. </w:t>
      </w:r>
    </w:p>
    <w:p w14:paraId="2D28879B" w14:textId="4EE268A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283AC8">
        <w:rPr>
          <w:rFonts w:ascii="Arial" w:eastAsia="Calibri" w:hAnsi="Arial" w:cs="Arial"/>
        </w:rPr>
        <w:t xml:space="preserve"> March</w:t>
      </w:r>
      <w:r w:rsidRPr="009F1AF9">
        <w:rPr>
          <w:rFonts w:ascii="Arial" w:eastAsia="Calibri" w:hAnsi="Arial" w:cs="Arial"/>
        </w:rPr>
        <w:t xml:space="preserve"> each year, the RFO shall prepare a draft budget with detailed estimates of all receipts and payments for the following financial year</w:t>
      </w:r>
      <w:r w:rsidR="008C6533">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04F486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1BCAB99E" w14:textId="6CD8BB2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59BB5A1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13BE5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63CF8655" w14:textId="77777777" w:rsidR="002D49A6" w:rsidRDefault="00D22E75" w:rsidP="002D49A6">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F37E756" w:rsidR="00D22E75" w:rsidRPr="002D49A6" w:rsidRDefault="002D49A6" w:rsidP="002D49A6">
      <w:pPr>
        <w:pStyle w:val="ListParagraph"/>
        <w:numPr>
          <w:ilvl w:val="1"/>
          <w:numId w:val="21"/>
        </w:numPr>
        <w:spacing w:after="120"/>
        <w:contextualSpacing w:val="0"/>
        <w:rPr>
          <w:rFonts w:ascii="Arial" w:hAnsi="Arial" w:cs="Arial"/>
          <w:sz w:val="24"/>
          <w:szCs w:val="24"/>
        </w:rPr>
      </w:pPr>
      <w:r w:rsidRPr="002D49A6">
        <w:rPr>
          <w:sz w:val="24"/>
          <w:szCs w:val="24"/>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11B9A497" w14:textId="77777777" w:rsidR="002D49A6" w:rsidRDefault="006D7FE3" w:rsidP="002D49A6">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38511EA6" w14:textId="77777777" w:rsidR="002D49A6" w:rsidRDefault="002D49A6" w:rsidP="002D49A6">
      <w:pPr>
        <w:pStyle w:val="ListParagraph"/>
        <w:spacing w:after="120"/>
        <w:ind w:left="851"/>
        <w:rPr>
          <w:rFonts w:ascii="Arial" w:hAnsi="Arial" w:cs="Arial"/>
        </w:rPr>
      </w:pPr>
    </w:p>
    <w:p w14:paraId="414A8018" w14:textId="57378A57" w:rsidR="00D22E75" w:rsidRPr="002D49A6" w:rsidRDefault="002D49A6" w:rsidP="002D49A6">
      <w:pPr>
        <w:pStyle w:val="ListParagraph"/>
        <w:numPr>
          <w:ilvl w:val="1"/>
          <w:numId w:val="21"/>
        </w:numPr>
        <w:spacing w:after="120"/>
        <w:rPr>
          <w:rFonts w:ascii="Arial" w:hAnsi="Arial" w:cs="Arial"/>
          <w:sz w:val="24"/>
          <w:szCs w:val="24"/>
        </w:rPr>
      </w:pPr>
      <w:r w:rsidRPr="002D49A6">
        <w:rPr>
          <w:sz w:val="24"/>
          <w:szCs w:val="24"/>
        </w:rPr>
        <w:t>For contracts estimated to be over £30,000 including VAT, the council must comply with any requirements of the Legislation regarding the publication of invitations and notices.</w:t>
      </w:r>
    </w:p>
    <w:p w14:paraId="6220EBAA" w14:textId="6596485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293D114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RFO</w:t>
      </w:r>
      <w:r w:rsidR="008C6533">
        <w:rPr>
          <w:rFonts w:ascii="Arial" w:hAnsi="Arial" w:cs="Arial"/>
        </w:rPr>
        <w:t xml:space="preserve"> </w:t>
      </w:r>
      <w:r w:rsidRPr="4C80E3E9">
        <w:rPr>
          <w:rFonts w:ascii="Arial" w:hAnsi="Arial" w:cs="Arial"/>
        </w:rPr>
        <w:t>shall try to obtain 3 estimates</w:t>
      </w:r>
      <w:r w:rsidR="008C6533">
        <w:rPr>
          <w:rFonts w:ascii="Arial" w:hAnsi="Arial" w:cs="Arial"/>
        </w:rPr>
        <w:t>.</w:t>
      </w:r>
    </w:p>
    <w:p w14:paraId="6282FFB2" w14:textId="77777777" w:rsidR="002D49A6" w:rsidRDefault="00521F0D" w:rsidP="002D49A6">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w:t>
      </w:r>
      <w:r w:rsidR="008C6533">
        <w:rPr>
          <w:rFonts w:ascii="Arial" w:hAnsi="Arial" w:cs="Arial"/>
        </w:rPr>
        <w:t xml:space="preserve">he </w:t>
      </w:r>
      <w:r w:rsidR="00AD7E84">
        <w:rPr>
          <w:rFonts w:ascii="Arial" w:hAnsi="Arial" w:cs="Arial"/>
        </w:rPr>
        <w:t xml:space="preserve">Clerk </w:t>
      </w:r>
      <w:r w:rsidR="00CA1584" w:rsidRPr="4C80E3E9">
        <w:rPr>
          <w:rFonts w:ascii="Arial" w:hAnsi="Arial" w:cs="Arial"/>
        </w:rPr>
        <w:t>shall seek to achieve value for money.</w:t>
      </w:r>
    </w:p>
    <w:p w14:paraId="7878A61D" w14:textId="3DBEF9D4" w:rsidR="00800338" w:rsidRPr="002D49A6" w:rsidRDefault="002D49A6" w:rsidP="002D49A6">
      <w:pPr>
        <w:pStyle w:val="ListParagraph"/>
        <w:numPr>
          <w:ilvl w:val="1"/>
          <w:numId w:val="21"/>
        </w:numPr>
        <w:spacing w:after="120"/>
        <w:contextualSpacing w:val="0"/>
        <w:rPr>
          <w:rFonts w:ascii="Arial" w:hAnsi="Arial" w:cs="Arial"/>
        </w:rPr>
      </w:pPr>
      <w:r w:rsidRPr="002D49A6">
        <w:rPr>
          <w:sz w:val="24"/>
          <w:szCs w:val="24"/>
        </w:rPr>
        <w:t>Contracts must not be split to avoid compliance with these rules.</w:t>
      </w:r>
    </w:p>
    <w:p w14:paraId="2BCF8E3C" w14:textId="77777777" w:rsidR="002D49A6" w:rsidRPr="002D49A6" w:rsidRDefault="002D49A6" w:rsidP="002D49A6">
      <w:pPr>
        <w:pStyle w:val="ListParagraph"/>
        <w:spacing w:after="120"/>
        <w:ind w:left="851"/>
        <w:contextualSpacing w:val="0"/>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2CEDAD9"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r w:rsidR="008C6533">
        <w:rPr>
          <w:rFonts w:ascii="Arial" w:hAnsi="Arial" w:cs="Arial"/>
        </w:rPr>
        <w:t>.</w:t>
      </w:r>
    </w:p>
    <w:p w14:paraId="42F7B9DF" w14:textId="3D99A70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r w:rsidR="008C6533">
        <w:rPr>
          <w:rFonts w:ascii="Arial" w:hAnsi="Arial" w:cs="Arial"/>
        </w:rPr>
        <w:t>.</w:t>
      </w:r>
    </w:p>
    <w:p w14:paraId="34A2791A" w14:textId="08E4BF0C"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r w:rsidR="008C6533">
        <w:rPr>
          <w:rFonts w:ascii="Arial" w:hAnsi="Arial" w:cs="Arial"/>
        </w:rPr>
        <w: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F61E3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695F228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The council shall not be obliged to accept the lowest or any tender, quote</w:t>
      </w:r>
      <w:r w:rsidR="008C6533">
        <w:rPr>
          <w:rFonts w:ascii="Arial" w:hAnsi="Arial" w:cs="Arial"/>
        </w:rPr>
        <w:t>,</w:t>
      </w:r>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B1C6BE1" w:rsidR="00D22E75" w:rsidRPr="009F1AF9" w:rsidRDefault="00AD7E84"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Clerk,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3DF2815D" w14:textId="17B4CFF1" w:rsidR="005B7078" w:rsidRPr="00AD7E84" w:rsidRDefault="00D22E75" w:rsidP="00AD7E84">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7B740B48" w14:textId="083FE4B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AD7E84">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C836E8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45769B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535D64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188A5E2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 xml:space="preserve">entered </w:t>
      </w:r>
      <w:r w:rsidR="00AD7E84" w:rsidRPr="4C80E3E9">
        <w:rPr>
          <w:rFonts w:ascii="Arial" w:hAnsi="Arial" w:cs="Arial"/>
        </w:rPr>
        <w:t>into</w:t>
      </w:r>
      <w:proofErr w:type="gramEnd"/>
      <w:r w:rsidR="00AD7E84" w:rsidRPr="4C80E3E9">
        <w:rPr>
          <w:rFonts w:ascii="Arial" w:hAnsi="Arial" w:cs="Arial"/>
        </w:rPr>
        <w:t>,</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6779BA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5A052F7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0D13F85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D7E84">
        <w:rPr>
          <w:rFonts w:ascii="Arial" w:hAnsi="Arial" w:cs="Arial"/>
        </w:rPr>
        <w:t>Virgin Money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AD7E84">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4B63EE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Where the certification of invoices is done as a batch, this shall include </w:t>
      </w:r>
      <w:r w:rsidR="005C2B56">
        <w:rPr>
          <w:rFonts w:ascii="Arial" w:hAnsi="Arial" w:cs="Arial"/>
        </w:rPr>
        <w:t>a (Payments to be Authorised) report</w:t>
      </w:r>
      <w:r w:rsidRPr="009F1AF9">
        <w:rPr>
          <w:rFonts w:ascii="Arial" w:hAnsi="Arial" w:cs="Arial"/>
        </w:rPr>
        <w:t xml:space="preserve"> by the RFO that all invoices listed have been ‘examined, verified and certified’ by the RFO.</w:t>
      </w:r>
    </w:p>
    <w:p w14:paraId="49F24BB9" w14:textId="067ED15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r w:rsidR="005C2B56" w:rsidRPr="009F1AF9">
        <w:rPr>
          <w:rFonts w:ascii="Arial" w:hAnsi="Arial" w:cs="Arial"/>
        </w:rPr>
        <w:t>expenses,</w:t>
      </w:r>
      <w:r w:rsidRPr="009F1AF9">
        <w:rPr>
          <w:rFonts w:ascii="Arial" w:hAnsi="Arial" w:cs="Arial"/>
        </w:rPr>
        <w:t xml:space="preserve"> and any payment made in relation to the termination of employment) may be summarised to avoid disclosing any personal information. </w:t>
      </w:r>
    </w:p>
    <w:p w14:paraId="293238BC" w14:textId="343F418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9726350" w14:textId="7807F0D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w:t>
      </w:r>
      <w:r w:rsidR="005C2B56">
        <w:rPr>
          <w:rFonts w:ascii="Arial" w:hAnsi="Arial" w:cs="Arial"/>
        </w:rPr>
        <w:t>all</w:t>
      </w:r>
      <w:r w:rsidRPr="009F1AF9">
        <w:rPr>
          <w:rFonts w:ascii="Arial" w:hAnsi="Arial" w:cs="Arial"/>
        </w:rPr>
        <w:t xml:space="preserve"> </w:t>
      </w:r>
      <w:r w:rsidR="005C2B56">
        <w:rPr>
          <w:rFonts w:ascii="Arial" w:hAnsi="Arial" w:cs="Arial"/>
        </w:rPr>
        <w:t>Signatory Councillors</w:t>
      </w:r>
      <w:r w:rsidRPr="009F1AF9">
        <w:rPr>
          <w:rFonts w:ascii="Arial" w:hAnsi="Arial" w:cs="Arial"/>
        </w:rPr>
        <w:t xml:space="preserve"> for information only</w:t>
      </w:r>
      <w:r w:rsidR="00F63669" w:rsidRPr="009F1AF9">
        <w:rPr>
          <w:rFonts w:ascii="Arial" w:hAnsi="Arial" w:cs="Arial"/>
        </w:rPr>
        <w:t>.</w:t>
      </w:r>
    </w:p>
    <w:p w14:paraId="1804D75E" w14:textId="021D942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5C2B56">
        <w:rPr>
          <w:rFonts w:ascii="Arial" w:hAnsi="Arial" w:cs="Arial"/>
        </w:rPr>
        <w:t xml:space="preserve"> </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B1158E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A43CEC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6DAD50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w:t>
      </w:r>
      <w:r w:rsidR="00364B99">
        <w:rPr>
          <w:rFonts w:ascii="Arial" w:hAnsi="Arial" w:cs="Arial"/>
        </w:rPr>
        <w:t xml:space="preserve"> </w:t>
      </w:r>
      <w:r w:rsidR="009B2323" w:rsidRPr="009F1AF9">
        <w:rPr>
          <w:rFonts w:ascii="Arial" w:hAnsi="Arial" w:cs="Arial"/>
        </w:rPr>
        <w:t>RFO certif</w:t>
      </w:r>
      <w:r w:rsidR="00364B9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135F7D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F6FD7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364B99">
        <w:rPr>
          <w:rFonts w:ascii="Arial" w:hAnsi="Arial" w:cs="Arial"/>
        </w:rPr>
        <w:t>Signatory Councillors</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113F9D8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364B99">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7EFC4CF7" w14:textId="11A290C7" w:rsidR="00D22E75" w:rsidRPr="00FB51F9" w:rsidRDefault="00D22E75" w:rsidP="00FB51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364B99">
        <w:rPr>
          <w:rFonts w:ascii="Arial" w:hAnsi="Arial" w:cs="Arial"/>
        </w:rPr>
        <w:t>all</w:t>
      </w:r>
      <w:r w:rsidRPr="009F1AF9">
        <w:rPr>
          <w:rFonts w:ascii="Arial" w:hAnsi="Arial" w:cs="Arial"/>
        </w:rPr>
        <w:t xml:space="preserve"> authorised signatories. </w:t>
      </w:r>
    </w:p>
    <w:p w14:paraId="1272030F" w14:textId="14B872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8A458C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79EE57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FB51F9">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C111A4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FB51F9">
        <w:rPr>
          <w:rFonts w:ascii="Arial" w:hAnsi="Arial" w:cs="Arial"/>
        </w:rPr>
        <w:t>.</w:t>
      </w:r>
      <w:r w:rsidRPr="009F1AF9">
        <w:rPr>
          <w:rFonts w:ascii="Arial" w:hAnsi="Arial" w:cs="Arial"/>
        </w:rPr>
        <w:t xml:space="preserve">  This is a potential area for fraud and the individuals involved should ensure that any change is genuine.  Data held should be checked with suppliers every two years</w:t>
      </w:r>
      <w:r w:rsidR="00FB51F9">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319593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B51F9">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8B11D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576E4F10" w14:textId="1BE1EF90" w:rsidR="00D22E75" w:rsidRPr="00FB51F9" w:rsidRDefault="00D22E75" w:rsidP="00FB51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£500 unless authorised by council in writing before any order is placed.</w:t>
      </w:r>
    </w:p>
    <w:p w14:paraId="3DDC07C8" w14:textId="517907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r w:rsidR="00FB51F9">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2A18A78F" w:rsidR="00655805" w:rsidRPr="00D612D2" w:rsidRDefault="009E68C5" w:rsidP="00505F15">
      <w:pPr>
        <w:pStyle w:val="ListParagraph"/>
        <w:numPr>
          <w:ilvl w:val="0"/>
          <w:numId w:val="54"/>
        </w:numPr>
        <w:spacing w:after="120" w:line="240" w:lineRule="auto"/>
        <w:ind w:left="1077" w:hanging="357"/>
        <w:contextualSpacing w:val="0"/>
        <w:rPr>
          <w:rFonts w:ascii="Arial" w:hAnsi="Arial" w:cs="Arial"/>
        </w:rPr>
      </w:pPr>
      <w:r w:rsidRPr="00D612D2">
        <w:rPr>
          <w:rFonts w:ascii="Arial" w:hAnsi="Arial" w:cs="Arial"/>
        </w:rPr>
        <w:t>The council will not maintain any form of cash float. All cash received must be banked intact. Any payments made in cash by the RFO (for example for postage or minor stationery items) shall be refunded on a regular basis, at least quarterly.</w:t>
      </w:r>
      <w:r w:rsidR="00D612D2">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5294B66"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F3FB5D1"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014FD8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A3C336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B3E7BD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EE6DF2"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216A54D9" w14:textId="63104AEC" w:rsidR="007E6C3C" w:rsidRPr="00EE6DF2" w:rsidRDefault="007E6C3C" w:rsidP="00EE6DF2">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0F252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r w:rsidR="00EE6DF2" w:rsidRPr="009F1AF9">
        <w:rPr>
          <w:rFonts w:ascii="Arial" w:hAnsi="Arial" w:cs="Arial"/>
        </w:rPr>
        <w:t>o</w:t>
      </w:r>
      <w:r w:rsidR="00EE6DF2">
        <w:rPr>
          <w:rFonts w:ascii="Arial" w:hAnsi="Arial" w:cs="Arial"/>
        </w:rPr>
        <w:t xml:space="preserve">r </w:t>
      </w:r>
      <w:r w:rsidR="00346F79" w:rsidRPr="009F1AF9">
        <w:rPr>
          <w:rFonts w:ascii="Arial" w:hAnsi="Arial" w:cs="Arial"/>
        </w:rPr>
        <w:t>addition to</w:t>
      </w:r>
      <w:r w:rsidR="00EE6DF2">
        <w:rPr>
          <w:rFonts w:ascii="Arial" w:hAnsi="Arial" w:cs="Arial"/>
        </w:rPr>
        <w:t>,</w:t>
      </w:r>
      <w:r w:rsidR="00346F79" w:rsidRPr="009F1AF9">
        <w:rPr>
          <w:rFonts w:ascii="Arial" w:hAnsi="Arial" w:cs="Arial"/>
        </w:rPr>
        <w:t xml:space="preserve">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6B025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475181A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A68EC7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4EEB8D1A" w14:textId="7A64E9E0" w:rsidR="007E6C3C" w:rsidRPr="007A09CB" w:rsidRDefault="007E6C3C" w:rsidP="007A09CB">
      <w:pPr>
        <w:pStyle w:val="Heading1"/>
        <w:rPr>
          <w:rFonts w:ascii="Arial" w:hAnsi="Arial" w:cs="Arial"/>
        </w:rPr>
      </w:pPr>
      <w:bookmarkStart w:id="505" w:name="_Toc165549970"/>
      <w:r w:rsidRPr="007A09CB">
        <w:rPr>
          <w:rFonts w:ascii="Arial" w:hAnsi="Arial" w:cs="Arial"/>
        </w:rPr>
        <w:t>Suspension and revision of Financial Regulations</w:t>
      </w:r>
      <w:bookmarkEnd w:id="505"/>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77A1134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r w:rsidR="007A09CB" w:rsidRPr="009F1AF9">
        <w:rPr>
          <w:rFonts w:ascii="Arial" w:hAnsi="Arial" w:cs="Arial"/>
        </w:rPr>
        <w:t>post unless</w:t>
      </w:r>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C51B50">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AE4B" w14:textId="77777777" w:rsidR="0021314C" w:rsidRDefault="0021314C" w:rsidP="00225AAB">
      <w:r>
        <w:separator/>
      </w:r>
    </w:p>
  </w:endnote>
  <w:endnote w:type="continuationSeparator" w:id="0">
    <w:p w14:paraId="3F7D7410" w14:textId="77777777" w:rsidR="0021314C" w:rsidRDefault="0021314C" w:rsidP="00225AAB">
      <w:r>
        <w:continuationSeparator/>
      </w:r>
    </w:p>
  </w:endnote>
  <w:endnote w:type="continuationNotice" w:id="1">
    <w:p w14:paraId="35424575" w14:textId="77777777" w:rsidR="0021314C" w:rsidRDefault="00213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616338B4" w:rsidR="00815732" w:rsidRPr="00815732" w:rsidRDefault="002D49A6" w:rsidP="00390A24">
    <w:pPr>
      <w:pStyle w:val="Footer"/>
      <w:rPr>
        <w:rFonts w:ascii="Gotham Book" w:hAnsi="Gotham Book"/>
        <w:lang w:val="en-US"/>
      </w:rPr>
    </w:pPr>
    <w:r>
      <w:rPr>
        <w:rFonts w:ascii="Gotham Book" w:hAnsi="Gotham Book"/>
        <w:lang w:val="en-US"/>
      </w:rPr>
      <w:t>Updated and Approved May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5A78" w14:textId="77777777" w:rsidR="0021314C" w:rsidRDefault="0021314C" w:rsidP="00225AAB">
      <w:r>
        <w:separator/>
      </w:r>
    </w:p>
  </w:footnote>
  <w:footnote w:type="continuationSeparator" w:id="0">
    <w:p w14:paraId="0443ED1A" w14:textId="77777777" w:rsidR="0021314C" w:rsidRDefault="0021314C" w:rsidP="00225AAB">
      <w:r>
        <w:continuationSeparator/>
      </w:r>
    </w:p>
  </w:footnote>
  <w:footnote w:type="continuationNotice" w:id="1">
    <w:p w14:paraId="37D0AB05" w14:textId="77777777" w:rsidR="0021314C" w:rsidRDefault="00213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6DF"/>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314C"/>
    <w:rsid w:val="00214598"/>
    <w:rsid w:val="00214CE3"/>
    <w:rsid w:val="002151BE"/>
    <w:rsid w:val="00215421"/>
    <w:rsid w:val="0021576E"/>
    <w:rsid w:val="00220F30"/>
    <w:rsid w:val="0022106D"/>
    <w:rsid w:val="00223A36"/>
    <w:rsid w:val="00223FAE"/>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3AC8"/>
    <w:rsid w:val="002852E7"/>
    <w:rsid w:val="002918EE"/>
    <w:rsid w:val="00292C38"/>
    <w:rsid w:val="00292FAF"/>
    <w:rsid w:val="00295AD4"/>
    <w:rsid w:val="002966EA"/>
    <w:rsid w:val="00297EFD"/>
    <w:rsid w:val="002A0870"/>
    <w:rsid w:val="002A2984"/>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49A6"/>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739"/>
    <w:rsid w:val="003239ED"/>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4B99"/>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5D5"/>
    <w:rsid w:val="003C3AB8"/>
    <w:rsid w:val="003C743C"/>
    <w:rsid w:val="003D1A0E"/>
    <w:rsid w:val="003D1CFF"/>
    <w:rsid w:val="003D4531"/>
    <w:rsid w:val="003D4ADE"/>
    <w:rsid w:val="003E1770"/>
    <w:rsid w:val="003E1E43"/>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2B56"/>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722"/>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09CB"/>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6B6"/>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9110F"/>
    <w:rsid w:val="008928F0"/>
    <w:rsid w:val="00896340"/>
    <w:rsid w:val="008A6C88"/>
    <w:rsid w:val="008B216B"/>
    <w:rsid w:val="008B21BD"/>
    <w:rsid w:val="008B2BDF"/>
    <w:rsid w:val="008B5438"/>
    <w:rsid w:val="008B62CD"/>
    <w:rsid w:val="008C0CB1"/>
    <w:rsid w:val="008C21AE"/>
    <w:rsid w:val="008C34FA"/>
    <w:rsid w:val="008C50A9"/>
    <w:rsid w:val="008C6533"/>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7C35"/>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D7E84"/>
    <w:rsid w:val="00AE17D6"/>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1B50"/>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0FBE"/>
    <w:rsid w:val="00D47E18"/>
    <w:rsid w:val="00D521C8"/>
    <w:rsid w:val="00D55388"/>
    <w:rsid w:val="00D612D2"/>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6DF2"/>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B75"/>
    <w:rsid w:val="00F327CA"/>
    <w:rsid w:val="00F36660"/>
    <w:rsid w:val="00F370BC"/>
    <w:rsid w:val="00F372E1"/>
    <w:rsid w:val="00F4356F"/>
    <w:rsid w:val="00F4547C"/>
    <w:rsid w:val="00F4569E"/>
    <w:rsid w:val="00F50F98"/>
    <w:rsid w:val="00F52354"/>
    <w:rsid w:val="00F52D4C"/>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51F9"/>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4927</Words>
  <Characters>28089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Anna Palmberg</cp:lastModifiedBy>
  <cp:revision>9</cp:revision>
  <cp:lastPrinted>2024-05-05T19:09:00Z</cp:lastPrinted>
  <dcterms:created xsi:type="dcterms:W3CDTF">2024-05-05T19:15:00Z</dcterms:created>
  <dcterms:modified xsi:type="dcterms:W3CDTF">2025-04-23T10:54:00Z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